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F7BDC" w14:textId="002824B0" w:rsidR="005451DC" w:rsidRPr="00345E1B" w:rsidRDefault="005451DC" w:rsidP="005451DC">
      <w:pPr>
        <w:pBdr>
          <w:bottom w:val="single" w:sz="12" w:space="1" w:color="auto"/>
        </w:pBd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345E1B">
        <w:rPr>
          <w:rFonts w:ascii="Garamond" w:hAnsi="Garamond"/>
          <w:b/>
          <w:sz w:val="24"/>
          <w:szCs w:val="24"/>
        </w:rPr>
        <w:t>GLOSAS PROGRAMAS MINISTERIO PÚBLICO – 202</w:t>
      </w:r>
      <w:r>
        <w:rPr>
          <w:rFonts w:ascii="Garamond" w:hAnsi="Garamond"/>
          <w:b/>
          <w:sz w:val="24"/>
          <w:szCs w:val="24"/>
        </w:rPr>
        <w:t>4</w:t>
      </w:r>
    </w:p>
    <w:p w14:paraId="284F8AA7" w14:textId="77777777" w:rsidR="005451DC" w:rsidRPr="00345E1B" w:rsidRDefault="005451DC" w:rsidP="005451DC">
      <w:pPr>
        <w:pBdr>
          <w:bottom w:val="single" w:sz="12" w:space="1" w:color="auto"/>
        </w:pBd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</w:p>
    <w:p w14:paraId="0E86F985" w14:textId="77777777" w:rsidR="005451DC" w:rsidRPr="00345E1B" w:rsidRDefault="005451DC" w:rsidP="005451DC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6B1F166A" w14:textId="77777777" w:rsidR="005451DC" w:rsidRPr="005675D7" w:rsidRDefault="005451DC" w:rsidP="00F6585A">
      <w:pPr>
        <w:jc w:val="both"/>
        <w:rPr>
          <w:rFonts w:ascii="Garamond" w:hAnsi="Garamond"/>
          <w:b/>
          <w:i/>
          <w:sz w:val="24"/>
          <w:szCs w:val="24"/>
        </w:rPr>
      </w:pPr>
      <w:r w:rsidRPr="005675D7">
        <w:rPr>
          <w:rFonts w:ascii="Garamond" w:hAnsi="Garamond"/>
          <w:b/>
          <w:sz w:val="24"/>
          <w:szCs w:val="24"/>
          <w:u w:val="single"/>
        </w:rPr>
        <w:t xml:space="preserve">Glosa </w:t>
      </w:r>
      <w:proofErr w:type="spellStart"/>
      <w:r w:rsidRPr="005675D7">
        <w:rPr>
          <w:rFonts w:ascii="Garamond" w:hAnsi="Garamond"/>
          <w:b/>
          <w:sz w:val="24"/>
          <w:szCs w:val="24"/>
          <w:u w:val="single"/>
        </w:rPr>
        <w:t>Nº</w:t>
      </w:r>
      <w:proofErr w:type="spellEnd"/>
      <w:r w:rsidRPr="005675D7">
        <w:rPr>
          <w:rFonts w:ascii="Garamond" w:hAnsi="Garamond"/>
          <w:b/>
          <w:sz w:val="24"/>
          <w:szCs w:val="24"/>
          <w:u w:val="single"/>
        </w:rPr>
        <w:t xml:space="preserve"> 08</w:t>
      </w:r>
      <w:r w:rsidRPr="005675D7">
        <w:rPr>
          <w:rFonts w:ascii="Garamond" w:hAnsi="Garamond"/>
          <w:b/>
          <w:sz w:val="24"/>
          <w:szCs w:val="24"/>
        </w:rPr>
        <w:t xml:space="preserve">: </w:t>
      </w:r>
      <w:r w:rsidRPr="005675D7">
        <w:rPr>
          <w:rFonts w:ascii="Garamond" w:hAnsi="Garamond"/>
          <w:b/>
          <w:i/>
          <w:sz w:val="24"/>
          <w:szCs w:val="24"/>
        </w:rPr>
        <w:t>trimestralmente, el Ministerio Público enviará a las Comisiones de Constitución, Legislación, Justicia y Reglamento de ambas Cámaras, el detalle de gastos efectuados, operatividad, estado de funcionamiento y grado de interoperabilidad del Banco Unificado de Datos, a que se refiere el artículo 11 de la ley N° 20.931.</w:t>
      </w:r>
    </w:p>
    <w:p w14:paraId="5F22A645" w14:textId="1318CB67" w:rsidR="005675D7" w:rsidRDefault="005675D7" w:rsidP="00F6585A">
      <w:pPr>
        <w:jc w:val="both"/>
        <w:rPr>
          <w:rFonts w:ascii="Garamond" w:hAnsi="Garamond" w:cs="Arial"/>
          <w:sz w:val="24"/>
          <w:szCs w:val="24"/>
        </w:rPr>
      </w:pPr>
      <w:r w:rsidRPr="00345E1B">
        <w:rPr>
          <w:rFonts w:ascii="Garamond" w:hAnsi="Garamond" w:cs="Arial"/>
          <w:sz w:val="24"/>
          <w:szCs w:val="24"/>
        </w:rPr>
        <w:t>Desde la entrada en vigor del Decreto N° 899 del Ministerio de Justicia y Derechos Humanos de octubre de 2019, el Ministerio Público asumió la administración del BUD, sistema que fue diseñado, construido e implementado por la Subsecretaría de Prevención del Delito.</w:t>
      </w:r>
      <w:r>
        <w:rPr>
          <w:rFonts w:ascii="Garamond" w:hAnsi="Garamond" w:cs="Arial"/>
          <w:sz w:val="24"/>
          <w:szCs w:val="24"/>
        </w:rPr>
        <w:t xml:space="preserve"> De esta forma, </w:t>
      </w:r>
      <w:r w:rsidR="004015C5">
        <w:rPr>
          <w:rFonts w:ascii="Garamond" w:hAnsi="Garamond" w:cs="Arial"/>
          <w:sz w:val="24"/>
          <w:szCs w:val="24"/>
        </w:rPr>
        <w:t>desde ese momento</w:t>
      </w:r>
      <w:r>
        <w:rPr>
          <w:rFonts w:ascii="Garamond" w:hAnsi="Garamond" w:cs="Arial"/>
          <w:sz w:val="24"/>
          <w:szCs w:val="24"/>
        </w:rPr>
        <w:t xml:space="preserve"> el Ministerio Público ha llevado a cabo un plan de trabajo</w:t>
      </w:r>
      <w:r w:rsidR="004015C5">
        <w:rPr>
          <w:rFonts w:ascii="Garamond" w:hAnsi="Garamond" w:cs="Arial"/>
          <w:sz w:val="24"/>
          <w:szCs w:val="24"/>
        </w:rPr>
        <w:t xml:space="preserve"> </w:t>
      </w:r>
      <w:r w:rsidR="003A51E6">
        <w:rPr>
          <w:rFonts w:ascii="Garamond" w:hAnsi="Garamond" w:cs="Arial"/>
          <w:sz w:val="24"/>
          <w:szCs w:val="24"/>
        </w:rPr>
        <w:t>que</w:t>
      </w:r>
      <w:r w:rsidR="004015C5">
        <w:rPr>
          <w:rFonts w:ascii="Garamond" w:hAnsi="Garamond" w:cs="Arial"/>
          <w:sz w:val="24"/>
          <w:szCs w:val="24"/>
        </w:rPr>
        <w:t>,</w:t>
      </w:r>
      <w:r w:rsidR="003A51E6">
        <w:rPr>
          <w:rFonts w:ascii="Garamond" w:hAnsi="Garamond" w:cs="Arial"/>
          <w:sz w:val="24"/>
          <w:szCs w:val="24"/>
        </w:rPr>
        <w:t xml:space="preserve"> en una primera etapa</w:t>
      </w:r>
      <w:r w:rsidR="004015C5">
        <w:rPr>
          <w:rFonts w:ascii="Garamond" w:hAnsi="Garamond" w:cs="Arial"/>
          <w:sz w:val="24"/>
          <w:szCs w:val="24"/>
        </w:rPr>
        <w:t xml:space="preserve">, </w:t>
      </w:r>
      <w:r w:rsidR="003A51E6">
        <w:rPr>
          <w:rFonts w:ascii="Garamond" w:hAnsi="Garamond" w:cs="Arial"/>
          <w:sz w:val="24"/>
          <w:szCs w:val="24"/>
        </w:rPr>
        <w:t xml:space="preserve">estuvo enfocado en </w:t>
      </w:r>
      <w:r>
        <w:rPr>
          <w:rFonts w:ascii="Garamond" w:hAnsi="Garamond" w:cs="Arial"/>
          <w:sz w:val="24"/>
          <w:szCs w:val="24"/>
        </w:rPr>
        <w:t xml:space="preserve">tomar el control del producto desarrollado por la Subsecretaría, </w:t>
      </w:r>
      <w:r w:rsidRPr="00345E1B">
        <w:rPr>
          <w:rFonts w:ascii="Garamond" w:hAnsi="Garamond" w:cs="Arial"/>
          <w:sz w:val="24"/>
          <w:szCs w:val="24"/>
        </w:rPr>
        <w:t>detectar y solucionar los problemas asociados a la inyección de datos, diseñar e implementar su marco regulatorio y las obligaciones contempladas en el Reglamento</w:t>
      </w:r>
      <w:r w:rsidR="003A51E6">
        <w:rPr>
          <w:rFonts w:ascii="Garamond" w:hAnsi="Garamond" w:cs="Arial"/>
          <w:sz w:val="24"/>
          <w:szCs w:val="24"/>
        </w:rPr>
        <w:t xml:space="preserve">, </w:t>
      </w:r>
      <w:r w:rsidRPr="00345E1B">
        <w:rPr>
          <w:rFonts w:ascii="Garamond" w:hAnsi="Garamond" w:cs="Arial"/>
          <w:sz w:val="24"/>
          <w:szCs w:val="24"/>
        </w:rPr>
        <w:t>asentar la vinculación con las instituciones participantes, promoviendo la óptima y efectiva disponibilización de la información</w:t>
      </w:r>
      <w:r w:rsidR="003A51E6">
        <w:rPr>
          <w:rFonts w:ascii="Garamond" w:hAnsi="Garamond" w:cs="Arial"/>
          <w:sz w:val="24"/>
          <w:szCs w:val="24"/>
        </w:rPr>
        <w:t xml:space="preserve"> y finalmente, estableciendo una política de seguridad de datos que garanti</w:t>
      </w:r>
      <w:r w:rsidR="002B3239">
        <w:rPr>
          <w:rFonts w:ascii="Garamond" w:hAnsi="Garamond" w:cs="Arial"/>
          <w:sz w:val="24"/>
          <w:szCs w:val="24"/>
        </w:rPr>
        <w:t>zara</w:t>
      </w:r>
      <w:r w:rsidR="003A51E6">
        <w:rPr>
          <w:rFonts w:ascii="Garamond" w:hAnsi="Garamond" w:cs="Arial"/>
          <w:sz w:val="24"/>
          <w:szCs w:val="24"/>
        </w:rPr>
        <w:t xml:space="preserve"> el resguardo</w:t>
      </w:r>
      <w:r w:rsidR="004015C5">
        <w:rPr>
          <w:rFonts w:ascii="Garamond" w:hAnsi="Garamond" w:cs="Arial"/>
          <w:sz w:val="24"/>
          <w:szCs w:val="24"/>
        </w:rPr>
        <w:t xml:space="preserve"> y trazabilidad</w:t>
      </w:r>
      <w:r w:rsidR="003A51E6">
        <w:rPr>
          <w:rFonts w:ascii="Garamond" w:hAnsi="Garamond" w:cs="Arial"/>
          <w:sz w:val="24"/>
          <w:szCs w:val="24"/>
        </w:rPr>
        <w:t xml:space="preserve"> de la información disponible en el sistema</w:t>
      </w:r>
      <w:r w:rsidR="0089349A">
        <w:rPr>
          <w:rFonts w:ascii="Garamond" w:hAnsi="Garamond" w:cs="Arial"/>
          <w:sz w:val="24"/>
          <w:szCs w:val="24"/>
        </w:rPr>
        <w:t>, así como también definió una Política de tratamiento de datos</w:t>
      </w:r>
      <w:r w:rsidRPr="00345E1B">
        <w:rPr>
          <w:rFonts w:ascii="Garamond" w:hAnsi="Garamond" w:cs="Arial"/>
          <w:sz w:val="24"/>
          <w:szCs w:val="24"/>
        </w:rPr>
        <w:t>.</w:t>
      </w:r>
      <w:r w:rsidR="003A51E6">
        <w:rPr>
          <w:rFonts w:ascii="Garamond" w:hAnsi="Garamond" w:cs="Arial"/>
          <w:sz w:val="24"/>
          <w:szCs w:val="24"/>
        </w:rPr>
        <w:t xml:space="preserve"> En est</w:t>
      </w:r>
      <w:r w:rsidR="0089349A">
        <w:rPr>
          <w:rFonts w:ascii="Garamond" w:hAnsi="Garamond" w:cs="Arial"/>
          <w:sz w:val="24"/>
          <w:szCs w:val="24"/>
        </w:rPr>
        <w:t>e orden de ideas</w:t>
      </w:r>
      <w:r w:rsidR="003A51E6" w:rsidRPr="00345E1B">
        <w:rPr>
          <w:rFonts w:ascii="Garamond" w:hAnsi="Garamond" w:cs="Arial"/>
          <w:sz w:val="24"/>
          <w:szCs w:val="24"/>
        </w:rPr>
        <w:t>, en esta primera fase se creó e implementó el Protocolo de Funcionamiento a que se refiere el artículo 4° del Reglamento, además de definirse un modelo de administración interna y de coordinación con las instituciones participantes</w:t>
      </w:r>
      <w:r w:rsidR="003A51E6">
        <w:rPr>
          <w:rFonts w:ascii="Garamond" w:hAnsi="Garamond" w:cs="Arial"/>
          <w:sz w:val="24"/>
          <w:szCs w:val="24"/>
        </w:rPr>
        <w:t xml:space="preserve">. </w:t>
      </w:r>
      <w:r w:rsidR="003A51E6" w:rsidRPr="00345E1B">
        <w:rPr>
          <w:rFonts w:ascii="Garamond" w:hAnsi="Garamond" w:cs="Arial"/>
          <w:sz w:val="24"/>
          <w:szCs w:val="24"/>
        </w:rPr>
        <w:t xml:space="preserve">Asimismo, se conformó el Comité de Coordinación, instancia en la cual participan los representantes de cada una de las instituciones que integran el sistema y que a la fecha ha sesionado en </w:t>
      </w:r>
      <w:r w:rsidR="0089349A" w:rsidRPr="0089349A">
        <w:rPr>
          <w:rFonts w:ascii="Garamond" w:hAnsi="Garamond" w:cs="Arial"/>
          <w:sz w:val="24"/>
          <w:szCs w:val="24"/>
        </w:rPr>
        <w:t>nueve</w:t>
      </w:r>
      <w:r w:rsidR="003A51E6" w:rsidRPr="0089349A">
        <w:rPr>
          <w:rFonts w:ascii="Garamond" w:hAnsi="Garamond" w:cs="Arial"/>
          <w:sz w:val="24"/>
          <w:szCs w:val="24"/>
        </w:rPr>
        <w:t xml:space="preserve"> oportunidades.</w:t>
      </w:r>
      <w:r w:rsidR="003A51E6" w:rsidRPr="00345E1B">
        <w:rPr>
          <w:rFonts w:ascii="Garamond" w:hAnsi="Garamond" w:cs="Arial"/>
          <w:sz w:val="24"/>
          <w:szCs w:val="24"/>
        </w:rPr>
        <w:t xml:space="preserve"> En lo técnico, el Ministerio Público gestionó y se hizo cargo de la conexión –mediante enlaces dedicados y seguros- con cada una de las instituciones participantes</w:t>
      </w:r>
      <w:r w:rsidR="004015C5">
        <w:rPr>
          <w:rFonts w:ascii="Garamond" w:hAnsi="Garamond" w:cs="Arial"/>
          <w:sz w:val="24"/>
          <w:szCs w:val="24"/>
        </w:rPr>
        <w:t>.</w:t>
      </w:r>
    </w:p>
    <w:p w14:paraId="04D0B93B" w14:textId="55E2E6E9" w:rsidR="003A51E6" w:rsidRDefault="003A51E6" w:rsidP="00F6585A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De esta manera y una vez superada la etapa de implementación y disponibilización de la informació</w:t>
      </w:r>
      <w:r w:rsidR="004015C5">
        <w:rPr>
          <w:rFonts w:ascii="Garamond" w:hAnsi="Garamond" w:cs="Arial"/>
          <w:sz w:val="24"/>
          <w:szCs w:val="24"/>
        </w:rPr>
        <w:t>n</w:t>
      </w:r>
      <w:r>
        <w:rPr>
          <w:rFonts w:ascii="Garamond" w:hAnsi="Garamond" w:cs="Arial"/>
          <w:sz w:val="24"/>
          <w:szCs w:val="24"/>
        </w:rPr>
        <w:t>,</w:t>
      </w:r>
      <w:r w:rsidR="004015C5">
        <w:rPr>
          <w:rFonts w:ascii="Garamond" w:hAnsi="Garamond" w:cs="Arial"/>
          <w:sz w:val="24"/>
          <w:szCs w:val="24"/>
        </w:rPr>
        <w:t xml:space="preserve"> que nos</w:t>
      </w:r>
      <w:r>
        <w:rPr>
          <w:rFonts w:ascii="Garamond" w:hAnsi="Garamond" w:cs="Arial"/>
          <w:sz w:val="24"/>
          <w:szCs w:val="24"/>
        </w:rPr>
        <w:t xml:space="preserve"> </w:t>
      </w:r>
      <w:r w:rsidR="00AF5F24">
        <w:rPr>
          <w:rFonts w:ascii="Garamond" w:hAnsi="Garamond" w:cs="Arial"/>
          <w:sz w:val="24"/>
          <w:szCs w:val="24"/>
        </w:rPr>
        <w:t>permit</w:t>
      </w:r>
      <w:r w:rsidR="004015C5">
        <w:rPr>
          <w:rFonts w:ascii="Garamond" w:hAnsi="Garamond" w:cs="Arial"/>
          <w:sz w:val="24"/>
          <w:szCs w:val="24"/>
        </w:rPr>
        <w:t>e</w:t>
      </w:r>
      <w:r w:rsidR="00AF5F24">
        <w:rPr>
          <w:rFonts w:ascii="Garamond" w:hAnsi="Garamond" w:cs="Arial"/>
          <w:sz w:val="24"/>
          <w:szCs w:val="24"/>
        </w:rPr>
        <w:t xml:space="preserve"> contar con diversos datos </w:t>
      </w:r>
      <w:r w:rsidR="00BA4384">
        <w:rPr>
          <w:rFonts w:ascii="Garamond" w:hAnsi="Garamond" w:cs="Arial"/>
          <w:sz w:val="24"/>
          <w:szCs w:val="24"/>
        </w:rPr>
        <w:t>inyectados</w:t>
      </w:r>
      <w:r w:rsidR="00AF5F24">
        <w:rPr>
          <w:rFonts w:ascii="Garamond" w:hAnsi="Garamond" w:cs="Arial"/>
          <w:sz w:val="24"/>
          <w:szCs w:val="24"/>
        </w:rPr>
        <w:t xml:space="preserve"> por las instituciones participantes que son visualizados actualmente en el sistema, </w:t>
      </w:r>
      <w:r>
        <w:rPr>
          <w:rFonts w:ascii="Garamond" w:hAnsi="Garamond" w:cs="Arial"/>
          <w:sz w:val="24"/>
          <w:szCs w:val="24"/>
        </w:rPr>
        <w:t>el Ministerio Público</w:t>
      </w:r>
      <w:r w:rsidR="00AF5F24">
        <w:rPr>
          <w:rFonts w:ascii="Garamond" w:hAnsi="Garamond" w:cs="Arial"/>
          <w:sz w:val="24"/>
          <w:szCs w:val="24"/>
        </w:rPr>
        <w:t xml:space="preserve"> en una segunda etapa de trabajo se centró en aumentar el nivel de uso por parte de las instituciones, corregir y rediseñar </w:t>
      </w:r>
      <w:r w:rsidR="006F7BEE">
        <w:rPr>
          <w:rFonts w:ascii="Garamond" w:hAnsi="Garamond" w:cs="Arial"/>
          <w:sz w:val="24"/>
          <w:szCs w:val="24"/>
        </w:rPr>
        <w:t xml:space="preserve">los aplicativos del sistema según las necesidades de </w:t>
      </w:r>
      <w:r w:rsidR="0086038B">
        <w:rPr>
          <w:rFonts w:ascii="Garamond" w:hAnsi="Garamond" w:cs="Arial"/>
          <w:sz w:val="24"/>
          <w:szCs w:val="24"/>
        </w:rPr>
        <w:t xml:space="preserve">sus </w:t>
      </w:r>
      <w:r w:rsidR="006F7BEE">
        <w:rPr>
          <w:rFonts w:ascii="Garamond" w:hAnsi="Garamond" w:cs="Arial"/>
          <w:sz w:val="24"/>
          <w:szCs w:val="24"/>
        </w:rPr>
        <w:t>usuarios y promover la incorporación de nuevos datos e instituciones</w:t>
      </w:r>
      <w:r w:rsidR="008B5E51">
        <w:rPr>
          <w:rFonts w:ascii="Garamond" w:hAnsi="Garamond" w:cs="Arial"/>
          <w:sz w:val="24"/>
          <w:szCs w:val="24"/>
        </w:rPr>
        <w:t>, conforme los objetivos del sistema contemplados en el artículo 11 de la Ley 20.931.</w:t>
      </w:r>
    </w:p>
    <w:p w14:paraId="0C102052" w14:textId="7CC152DB" w:rsidR="001C4402" w:rsidRDefault="004015C5" w:rsidP="004A34F0">
      <w:pPr>
        <w:jc w:val="both"/>
        <w:rPr>
          <w:rFonts w:ascii="Garamond" w:hAnsi="Garamond"/>
          <w:bCs/>
          <w:iCs/>
          <w:sz w:val="24"/>
          <w:szCs w:val="24"/>
        </w:rPr>
      </w:pPr>
      <w:r>
        <w:rPr>
          <w:rFonts w:ascii="Garamond" w:hAnsi="Garamond"/>
          <w:bCs/>
          <w:iCs/>
          <w:sz w:val="24"/>
          <w:szCs w:val="24"/>
        </w:rPr>
        <w:t>En vista a</w:t>
      </w:r>
      <w:r w:rsidR="00490758">
        <w:rPr>
          <w:rFonts w:ascii="Garamond" w:hAnsi="Garamond"/>
          <w:bCs/>
          <w:iCs/>
          <w:sz w:val="24"/>
          <w:szCs w:val="24"/>
        </w:rPr>
        <w:t xml:space="preserve"> estos objetivos, cabe indicar que durante el año 2023 se habilitó la versión</w:t>
      </w:r>
      <w:r w:rsidR="006201E5">
        <w:rPr>
          <w:rFonts w:ascii="Garamond" w:hAnsi="Garamond"/>
          <w:bCs/>
          <w:iCs/>
          <w:sz w:val="24"/>
          <w:szCs w:val="24"/>
        </w:rPr>
        <w:t xml:space="preserve"> 3.4</w:t>
      </w:r>
      <w:r w:rsidR="00490758">
        <w:rPr>
          <w:rFonts w:ascii="Garamond" w:hAnsi="Garamond"/>
          <w:bCs/>
          <w:iCs/>
          <w:sz w:val="24"/>
          <w:szCs w:val="24"/>
        </w:rPr>
        <w:t xml:space="preserve"> del sistema, a través de la </w:t>
      </w:r>
      <w:r w:rsidR="0021296F">
        <w:rPr>
          <w:rFonts w:ascii="Garamond" w:hAnsi="Garamond"/>
          <w:bCs/>
          <w:iCs/>
          <w:sz w:val="24"/>
          <w:szCs w:val="24"/>
        </w:rPr>
        <w:t>cual</w:t>
      </w:r>
      <w:r w:rsidR="00490758">
        <w:rPr>
          <w:rFonts w:ascii="Garamond" w:hAnsi="Garamond"/>
          <w:bCs/>
          <w:iCs/>
          <w:sz w:val="24"/>
          <w:szCs w:val="24"/>
        </w:rPr>
        <w:t xml:space="preserve"> se</w:t>
      </w:r>
      <w:r w:rsidR="0021296F">
        <w:rPr>
          <w:rFonts w:ascii="Garamond" w:hAnsi="Garamond"/>
          <w:bCs/>
          <w:iCs/>
          <w:sz w:val="24"/>
          <w:szCs w:val="24"/>
        </w:rPr>
        <w:t xml:space="preserve"> han abordado </w:t>
      </w:r>
      <w:r>
        <w:rPr>
          <w:rFonts w:ascii="Garamond" w:hAnsi="Garamond"/>
          <w:bCs/>
          <w:iCs/>
          <w:sz w:val="24"/>
          <w:szCs w:val="24"/>
        </w:rPr>
        <w:t xml:space="preserve">diversas </w:t>
      </w:r>
      <w:r w:rsidR="00490758">
        <w:rPr>
          <w:rFonts w:ascii="Garamond" w:hAnsi="Garamond"/>
          <w:bCs/>
          <w:iCs/>
          <w:sz w:val="24"/>
          <w:szCs w:val="24"/>
        </w:rPr>
        <w:t>mejoras a la experiencia del usuario y el aumento de aplicativos disponibles para lograr visualizar la información inyectada al sistema por las instituciones participantes</w:t>
      </w:r>
      <w:r w:rsidR="0021296F">
        <w:rPr>
          <w:rFonts w:ascii="Garamond" w:hAnsi="Garamond"/>
          <w:bCs/>
          <w:iCs/>
          <w:sz w:val="24"/>
          <w:szCs w:val="24"/>
        </w:rPr>
        <w:t xml:space="preserve">, mediante </w:t>
      </w:r>
      <w:r w:rsidR="006201E5">
        <w:rPr>
          <w:rFonts w:ascii="Garamond" w:hAnsi="Garamond"/>
          <w:bCs/>
          <w:iCs/>
          <w:sz w:val="24"/>
          <w:szCs w:val="24"/>
        </w:rPr>
        <w:t>constante</w:t>
      </w:r>
      <w:r>
        <w:rPr>
          <w:rFonts w:ascii="Garamond" w:hAnsi="Garamond"/>
          <w:bCs/>
          <w:iCs/>
          <w:sz w:val="24"/>
          <w:szCs w:val="24"/>
        </w:rPr>
        <w:t>s</w:t>
      </w:r>
      <w:r w:rsidR="006201E5">
        <w:rPr>
          <w:rFonts w:ascii="Garamond" w:hAnsi="Garamond"/>
          <w:bCs/>
          <w:iCs/>
          <w:sz w:val="24"/>
          <w:szCs w:val="24"/>
        </w:rPr>
        <w:t xml:space="preserve"> </w:t>
      </w:r>
      <w:r w:rsidR="0021296F">
        <w:rPr>
          <w:rFonts w:ascii="Garamond" w:hAnsi="Garamond"/>
          <w:bCs/>
          <w:iCs/>
          <w:sz w:val="24"/>
          <w:szCs w:val="24"/>
        </w:rPr>
        <w:t>correcciones técnicas.</w:t>
      </w:r>
      <w:r>
        <w:rPr>
          <w:rFonts w:ascii="Garamond" w:hAnsi="Garamond"/>
          <w:bCs/>
          <w:iCs/>
          <w:sz w:val="24"/>
          <w:szCs w:val="24"/>
        </w:rPr>
        <w:t xml:space="preserve"> </w:t>
      </w:r>
      <w:r w:rsidR="0021296F">
        <w:rPr>
          <w:rFonts w:ascii="Garamond" w:hAnsi="Garamond"/>
          <w:bCs/>
          <w:iCs/>
          <w:sz w:val="24"/>
          <w:szCs w:val="24"/>
        </w:rPr>
        <w:t>Esto se traduce en que</w:t>
      </w:r>
      <w:r>
        <w:rPr>
          <w:rFonts w:ascii="Garamond" w:hAnsi="Garamond"/>
          <w:bCs/>
          <w:iCs/>
          <w:sz w:val="24"/>
          <w:szCs w:val="24"/>
        </w:rPr>
        <w:t xml:space="preserve"> durante el año 2023 se </w:t>
      </w:r>
      <w:r w:rsidR="006201E5">
        <w:rPr>
          <w:rFonts w:ascii="Garamond" w:hAnsi="Garamond"/>
          <w:bCs/>
          <w:iCs/>
          <w:sz w:val="24"/>
          <w:szCs w:val="24"/>
        </w:rPr>
        <w:t>habilit</w:t>
      </w:r>
      <w:r>
        <w:rPr>
          <w:rFonts w:ascii="Garamond" w:hAnsi="Garamond"/>
          <w:bCs/>
          <w:iCs/>
          <w:sz w:val="24"/>
          <w:szCs w:val="24"/>
        </w:rPr>
        <w:t>ó la consulta</w:t>
      </w:r>
      <w:r w:rsidR="006201E5">
        <w:rPr>
          <w:rFonts w:ascii="Garamond" w:hAnsi="Garamond"/>
          <w:bCs/>
          <w:iCs/>
          <w:sz w:val="24"/>
          <w:szCs w:val="24"/>
        </w:rPr>
        <w:t xml:space="preserve"> de información relativa a entrada y salidas del país de imputados y condenados</w:t>
      </w:r>
      <w:r>
        <w:rPr>
          <w:rFonts w:ascii="Garamond" w:hAnsi="Garamond"/>
          <w:bCs/>
          <w:iCs/>
          <w:sz w:val="24"/>
          <w:szCs w:val="24"/>
        </w:rPr>
        <w:t xml:space="preserve"> y </w:t>
      </w:r>
      <w:r w:rsidR="0021296F">
        <w:rPr>
          <w:rFonts w:ascii="Garamond" w:hAnsi="Garamond"/>
          <w:bCs/>
          <w:iCs/>
          <w:sz w:val="24"/>
          <w:szCs w:val="24"/>
        </w:rPr>
        <w:t xml:space="preserve">de </w:t>
      </w:r>
      <w:r w:rsidR="00345854">
        <w:rPr>
          <w:rFonts w:ascii="Garamond" w:hAnsi="Garamond"/>
          <w:bCs/>
          <w:iCs/>
          <w:sz w:val="24"/>
          <w:szCs w:val="24"/>
        </w:rPr>
        <w:t>los beneficios intra penitenciarios, in</w:t>
      </w:r>
      <w:r>
        <w:rPr>
          <w:rFonts w:ascii="Garamond" w:hAnsi="Garamond"/>
          <w:bCs/>
          <w:iCs/>
          <w:sz w:val="24"/>
          <w:szCs w:val="24"/>
        </w:rPr>
        <w:t>yectados</w:t>
      </w:r>
      <w:r w:rsidR="00345854">
        <w:rPr>
          <w:rFonts w:ascii="Garamond" w:hAnsi="Garamond"/>
          <w:bCs/>
          <w:iCs/>
          <w:sz w:val="24"/>
          <w:szCs w:val="24"/>
        </w:rPr>
        <w:t xml:space="preserve"> por </w:t>
      </w:r>
      <w:r>
        <w:rPr>
          <w:rFonts w:ascii="Garamond" w:hAnsi="Garamond"/>
          <w:bCs/>
          <w:iCs/>
          <w:sz w:val="24"/>
          <w:szCs w:val="24"/>
        </w:rPr>
        <w:t xml:space="preserve">la Policía de Investigaciones y </w:t>
      </w:r>
      <w:r w:rsidR="00345854">
        <w:rPr>
          <w:rFonts w:ascii="Garamond" w:hAnsi="Garamond"/>
          <w:bCs/>
          <w:iCs/>
          <w:sz w:val="24"/>
          <w:szCs w:val="24"/>
        </w:rPr>
        <w:t>Gendarmería</w:t>
      </w:r>
      <w:r>
        <w:rPr>
          <w:rFonts w:ascii="Garamond" w:hAnsi="Garamond"/>
          <w:bCs/>
          <w:iCs/>
          <w:sz w:val="24"/>
          <w:szCs w:val="24"/>
        </w:rPr>
        <w:t xml:space="preserve"> de Chile respectivamente</w:t>
      </w:r>
      <w:r w:rsidR="00345854">
        <w:rPr>
          <w:rFonts w:ascii="Garamond" w:hAnsi="Garamond"/>
          <w:bCs/>
          <w:iCs/>
          <w:sz w:val="24"/>
          <w:szCs w:val="24"/>
        </w:rPr>
        <w:t xml:space="preserve">. Por otro lado, durante este periodo destaca </w:t>
      </w:r>
      <w:r w:rsidR="006201E5">
        <w:rPr>
          <w:rFonts w:ascii="Garamond" w:hAnsi="Garamond"/>
          <w:bCs/>
          <w:iCs/>
          <w:sz w:val="24"/>
          <w:szCs w:val="24"/>
        </w:rPr>
        <w:t xml:space="preserve">la integración </w:t>
      </w:r>
      <w:r>
        <w:rPr>
          <w:rFonts w:ascii="Garamond" w:hAnsi="Garamond"/>
          <w:bCs/>
          <w:iCs/>
          <w:sz w:val="24"/>
          <w:szCs w:val="24"/>
        </w:rPr>
        <w:t xml:space="preserve">llevada a cabo </w:t>
      </w:r>
      <w:r w:rsidR="006201E5">
        <w:rPr>
          <w:rFonts w:ascii="Garamond" w:hAnsi="Garamond"/>
          <w:bCs/>
          <w:iCs/>
          <w:sz w:val="24"/>
          <w:szCs w:val="24"/>
        </w:rPr>
        <w:t xml:space="preserve">con el </w:t>
      </w:r>
      <w:r>
        <w:rPr>
          <w:rFonts w:ascii="Garamond" w:hAnsi="Garamond"/>
          <w:bCs/>
          <w:iCs/>
          <w:sz w:val="24"/>
          <w:szCs w:val="24"/>
        </w:rPr>
        <w:t>R</w:t>
      </w:r>
      <w:r w:rsidR="006201E5">
        <w:rPr>
          <w:rFonts w:ascii="Garamond" w:hAnsi="Garamond"/>
          <w:bCs/>
          <w:iCs/>
          <w:sz w:val="24"/>
          <w:szCs w:val="24"/>
        </w:rPr>
        <w:t xml:space="preserve">egistro </w:t>
      </w:r>
      <w:r>
        <w:rPr>
          <w:rFonts w:ascii="Garamond" w:hAnsi="Garamond"/>
          <w:bCs/>
          <w:iCs/>
          <w:sz w:val="24"/>
          <w:szCs w:val="24"/>
        </w:rPr>
        <w:t>C</w:t>
      </w:r>
      <w:r w:rsidR="006201E5">
        <w:rPr>
          <w:rFonts w:ascii="Garamond" w:hAnsi="Garamond"/>
          <w:bCs/>
          <w:iCs/>
          <w:sz w:val="24"/>
          <w:szCs w:val="24"/>
        </w:rPr>
        <w:t>ivil</w:t>
      </w:r>
      <w:r>
        <w:rPr>
          <w:rFonts w:ascii="Garamond" w:hAnsi="Garamond"/>
          <w:bCs/>
          <w:iCs/>
          <w:sz w:val="24"/>
          <w:szCs w:val="24"/>
        </w:rPr>
        <w:t xml:space="preserve">, que ha permitido </w:t>
      </w:r>
      <w:r w:rsidR="0015356D">
        <w:rPr>
          <w:rFonts w:ascii="Garamond" w:hAnsi="Garamond"/>
          <w:bCs/>
          <w:iCs/>
          <w:sz w:val="24"/>
          <w:szCs w:val="24"/>
        </w:rPr>
        <w:t>facilitar</w:t>
      </w:r>
      <w:r>
        <w:rPr>
          <w:rFonts w:ascii="Garamond" w:hAnsi="Garamond"/>
          <w:bCs/>
          <w:iCs/>
          <w:sz w:val="24"/>
          <w:szCs w:val="24"/>
        </w:rPr>
        <w:t xml:space="preserve"> el acceso a</w:t>
      </w:r>
      <w:r w:rsidR="006201E5">
        <w:rPr>
          <w:rFonts w:ascii="Garamond" w:hAnsi="Garamond"/>
          <w:bCs/>
          <w:iCs/>
          <w:sz w:val="24"/>
          <w:szCs w:val="24"/>
        </w:rPr>
        <w:t xml:space="preserve"> </w:t>
      </w:r>
      <w:r w:rsidR="006201E5">
        <w:rPr>
          <w:rFonts w:ascii="Garamond" w:hAnsi="Garamond"/>
          <w:bCs/>
          <w:iCs/>
          <w:sz w:val="24"/>
          <w:szCs w:val="24"/>
        </w:rPr>
        <w:lastRenderedPageBreak/>
        <w:t>la fotografía y datos de imputados y condenados</w:t>
      </w:r>
      <w:r w:rsidR="00345854">
        <w:rPr>
          <w:rFonts w:ascii="Garamond" w:hAnsi="Garamond"/>
          <w:bCs/>
          <w:iCs/>
          <w:sz w:val="24"/>
          <w:szCs w:val="24"/>
        </w:rPr>
        <w:t xml:space="preserve"> y el registro de prófugos de la justicia, </w:t>
      </w:r>
      <w:r w:rsidR="0021296F">
        <w:rPr>
          <w:rFonts w:ascii="Garamond" w:hAnsi="Garamond"/>
          <w:bCs/>
          <w:iCs/>
          <w:sz w:val="24"/>
          <w:szCs w:val="24"/>
        </w:rPr>
        <w:t>de acuerdo con</w:t>
      </w:r>
      <w:r w:rsidR="00345854">
        <w:rPr>
          <w:rFonts w:ascii="Garamond" w:hAnsi="Garamond"/>
          <w:bCs/>
          <w:iCs/>
          <w:sz w:val="24"/>
          <w:szCs w:val="24"/>
        </w:rPr>
        <w:t xml:space="preserve"> lo dispuesto en la Ley N°20.593.</w:t>
      </w:r>
    </w:p>
    <w:p w14:paraId="1A9AB592" w14:textId="2EA58104" w:rsidR="004A34F0" w:rsidRDefault="004015C5" w:rsidP="004A34F0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bCs/>
          <w:iCs/>
          <w:sz w:val="24"/>
          <w:szCs w:val="24"/>
        </w:rPr>
        <w:t>Sobre el punto relativo a</w:t>
      </w:r>
      <w:r w:rsidR="004A34F0">
        <w:rPr>
          <w:rFonts w:ascii="Garamond" w:hAnsi="Garamond"/>
          <w:bCs/>
          <w:iCs/>
          <w:sz w:val="24"/>
          <w:szCs w:val="24"/>
        </w:rPr>
        <w:t xml:space="preserve"> la incorporación de nuevos datos e instituciones, el Ministerio Público </w:t>
      </w:r>
      <w:r w:rsidR="009877AF">
        <w:rPr>
          <w:rFonts w:ascii="Garamond" w:hAnsi="Garamond"/>
          <w:bCs/>
          <w:iCs/>
          <w:sz w:val="24"/>
          <w:szCs w:val="24"/>
        </w:rPr>
        <w:t>se encuentra trabajando en los ajustes técnicos finales</w:t>
      </w:r>
      <w:r w:rsidR="004A34F0" w:rsidRPr="00345E1B">
        <w:rPr>
          <w:rFonts w:ascii="Garamond" w:hAnsi="Garamond" w:cs="Arial"/>
          <w:sz w:val="24"/>
          <w:szCs w:val="24"/>
        </w:rPr>
        <w:t xml:space="preserve"> con </w:t>
      </w:r>
      <w:r w:rsidR="004A34F0" w:rsidRPr="005675D7">
        <w:rPr>
          <w:rFonts w:ascii="Garamond" w:hAnsi="Garamond"/>
          <w:sz w:val="24"/>
          <w:szCs w:val="24"/>
        </w:rPr>
        <w:t>la Dirección General de Movilización Nacional (DGMN) y la Dirección General del Territorio Marítimo y de Marina Mercante (DIRECTEMAR</w:t>
      </w:r>
      <w:r w:rsidR="004A34F0">
        <w:rPr>
          <w:rFonts w:ascii="Garamond" w:hAnsi="Garamond" w:cs="Arial"/>
          <w:sz w:val="24"/>
          <w:szCs w:val="24"/>
        </w:rPr>
        <w:t>)</w:t>
      </w:r>
      <w:r w:rsidR="004A34F0" w:rsidRPr="00345E1B">
        <w:rPr>
          <w:rFonts w:ascii="Garamond" w:hAnsi="Garamond" w:cs="Arial"/>
          <w:sz w:val="24"/>
          <w:szCs w:val="24"/>
        </w:rPr>
        <w:t xml:space="preserve"> para concretar su incorporación al BUD</w:t>
      </w:r>
      <w:r w:rsidR="004A34F0">
        <w:rPr>
          <w:rFonts w:ascii="Garamond" w:hAnsi="Garamond" w:cs="Arial"/>
          <w:sz w:val="24"/>
          <w:szCs w:val="24"/>
        </w:rPr>
        <w:t xml:space="preserve">. </w:t>
      </w:r>
      <w:r w:rsidR="009877AF">
        <w:rPr>
          <w:rFonts w:ascii="Garamond" w:hAnsi="Garamond" w:cs="Arial"/>
          <w:sz w:val="24"/>
          <w:szCs w:val="24"/>
        </w:rPr>
        <w:t>En este sentido</w:t>
      </w:r>
      <w:r w:rsidR="00215066">
        <w:rPr>
          <w:rFonts w:ascii="Garamond" w:hAnsi="Garamond" w:cs="Arial"/>
          <w:sz w:val="24"/>
          <w:szCs w:val="24"/>
        </w:rPr>
        <w:t xml:space="preserve">, cabe señalar que </w:t>
      </w:r>
      <w:r w:rsidR="009877AF">
        <w:rPr>
          <w:rFonts w:ascii="Garamond" w:hAnsi="Garamond" w:cs="Arial"/>
          <w:sz w:val="24"/>
          <w:szCs w:val="24"/>
        </w:rPr>
        <w:t>fue tomado de razón</w:t>
      </w:r>
      <w:r w:rsidR="00215066">
        <w:rPr>
          <w:rFonts w:ascii="Garamond" w:hAnsi="Garamond" w:cs="Arial"/>
          <w:sz w:val="24"/>
          <w:szCs w:val="24"/>
        </w:rPr>
        <w:t xml:space="preserve"> </w:t>
      </w:r>
      <w:r w:rsidR="009877AF">
        <w:rPr>
          <w:rFonts w:ascii="Garamond" w:hAnsi="Garamond" w:cs="Arial"/>
          <w:sz w:val="24"/>
          <w:szCs w:val="24"/>
        </w:rPr>
        <w:t>por</w:t>
      </w:r>
      <w:r w:rsidR="00215066">
        <w:rPr>
          <w:rFonts w:ascii="Garamond" w:hAnsi="Garamond" w:cs="Arial"/>
          <w:sz w:val="24"/>
          <w:szCs w:val="24"/>
        </w:rPr>
        <w:t xml:space="preserve"> la Contraloría General de la República, el decreto </w:t>
      </w:r>
      <w:r w:rsidR="009877AF">
        <w:rPr>
          <w:rFonts w:ascii="Garamond" w:hAnsi="Garamond" w:cs="Arial"/>
          <w:sz w:val="24"/>
          <w:szCs w:val="24"/>
        </w:rPr>
        <w:t xml:space="preserve">N° 65 del Ministerio de Justicia y Derechos Humanos de fecha 08 de julio de 2024, </w:t>
      </w:r>
      <w:r w:rsidR="00215066">
        <w:rPr>
          <w:rFonts w:ascii="Garamond" w:hAnsi="Garamond" w:cs="Arial"/>
          <w:sz w:val="24"/>
          <w:szCs w:val="24"/>
        </w:rPr>
        <w:t xml:space="preserve">que aprueba modificaciones al Reglamento del BUD, mediante la cual se incorpora a ambas instituciones como integrantes del sistema. </w:t>
      </w:r>
      <w:r w:rsidR="004A34F0">
        <w:rPr>
          <w:rFonts w:ascii="Garamond" w:hAnsi="Garamond" w:cs="Arial"/>
          <w:sz w:val="24"/>
          <w:szCs w:val="24"/>
        </w:rPr>
        <w:t>Por otro lado, en el caso de Servicio Nacional de Migraciones, cabe indicar que, a partir de una mesa de trabajo iniciada durante el año 2023, se ha trabajado para que dicha institución tenga la factibilidad técnica para sumarse al sistema y su vez, se ha avanzado en la determinación de los datos de utilidad que deberán inyectar una vez lograda la conexión</w:t>
      </w:r>
      <w:r w:rsidR="00381E12">
        <w:rPr>
          <w:rFonts w:ascii="Garamond" w:hAnsi="Garamond" w:cs="Arial"/>
          <w:sz w:val="24"/>
          <w:szCs w:val="24"/>
        </w:rPr>
        <w:t xml:space="preserve"> al BUD</w:t>
      </w:r>
      <w:r w:rsidR="004A34F0">
        <w:rPr>
          <w:rFonts w:ascii="Garamond" w:hAnsi="Garamond" w:cs="Arial"/>
          <w:sz w:val="24"/>
          <w:szCs w:val="24"/>
        </w:rPr>
        <w:t xml:space="preserve">. </w:t>
      </w:r>
      <w:r w:rsidR="00215066">
        <w:rPr>
          <w:rFonts w:ascii="Garamond" w:hAnsi="Garamond" w:cs="Arial"/>
          <w:sz w:val="24"/>
          <w:szCs w:val="24"/>
        </w:rPr>
        <w:t>A la fecha, ya se logró conexión con el SERMIG</w:t>
      </w:r>
      <w:r w:rsidR="009877AF">
        <w:rPr>
          <w:rFonts w:ascii="Garamond" w:hAnsi="Garamond" w:cs="Arial"/>
          <w:sz w:val="24"/>
          <w:szCs w:val="24"/>
        </w:rPr>
        <w:t xml:space="preserve"> y a partir del miércoles 24 de julio </w:t>
      </w:r>
      <w:r w:rsidR="00215066">
        <w:rPr>
          <w:rFonts w:ascii="Garamond" w:hAnsi="Garamond" w:cs="Arial"/>
          <w:sz w:val="24"/>
          <w:szCs w:val="24"/>
        </w:rPr>
        <w:t xml:space="preserve">los usuarios pueden acceder </w:t>
      </w:r>
      <w:r w:rsidR="009877AF">
        <w:rPr>
          <w:rFonts w:ascii="Garamond" w:hAnsi="Garamond" w:cs="Arial"/>
          <w:sz w:val="24"/>
          <w:szCs w:val="24"/>
        </w:rPr>
        <w:t>a la información de</w:t>
      </w:r>
      <w:r w:rsidR="00215066">
        <w:rPr>
          <w:rFonts w:ascii="Garamond" w:hAnsi="Garamond" w:cs="Arial"/>
          <w:sz w:val="24"/>
          <w:szCs w:val="24"/>
        </w:rPr>
        <w:t xml:space="preserve"> la situación migratoria de imputados y condenados </w:t>
      </w:r>
      <w:r w:rsidR="009877AF">
        <w:rPr>
          <w:rFonts w:ascii="Garamond" w:hAnsi="Garamond" w:cs="Arial"/>
          <w:sz w:val="24"/>
          <w:szCs w:val="24"/>
        </w:rPr>
        <w:t>en el</w:t>
      </w:r>
      <w:r w:rsidR="00215066">
        <w:rPr>
          <w:rFonts w:ascii="Garamond" w:hAnsi="Garamond" w:cs="Arial"/>
          <w:sz w:val="24"/>
          <w:szCs w:val="24"/>
        </w:rPr>
        <w:t xml:space="preserve"> BUD.</w:t>
      </w:r>
    </w:p>
    <w:p w14:paraId="099F7279" w14:textId="23819242" w:rsidR="001C4402" w:rsidRPr="005675D7" w:rsidRDefault="001C4402" w:rsidP="001C4402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bCs/>
          <w:iCs/>
          <w:sz w:val="24"/>
          <w:szCs w:val="24"/>
        </w:rPr>
        <w:t xml:space="preserve">De esta forma, </w:t>
      </w:r>
      <w:r>
        <w:rPr>
          <w:rFonts w:ascii="Garamond" w:hAnsi="Garamond" w:cs="Arial"/>
          <w:sz w:val="24"/>
          <w:szCs w:val="24"/>
        </w:rPr>
        <w:t>l</w:t>
      </w:r>
      <w:r w:rsidRPr="005675D7">
        <w:rPr>
          <w:rFonts w:ascii="Garamond" w:hAnsi="Garamond" w:cs="Arial"/>
          <w:sz w:val="24"/>
          <w:szCs w:val="24"/>
        </w:rPr>
        <w:t xml:space="preserve">a habilitación y mejora de las herramientas </w:t>
      </w:r>
      <w:r>
        <w:rPr>
          <w:rFonts w:ascii="Garamond" w:hAnsi="Garamond" w:cs="Arial"/>
          <w:sz w:val="24"/>
          <w:szCs w:val="24"/>
        </w:rPr>
        <w:t>del BUD</w:t>
      </w:r>
      <w:r w:rsidRPr="005675D7">
        <w:rPr>
          <w:rFonts w:ascii="Garamond" w:hAnsi="Garamond" w:cs="Arial"/>
          <w:sz w:val="24"/>
          <w:szCs w:val="24"/>
        </w:rPr>
        <w:t xml:space="preserve"> han impactado en un aumento de las consultas al sistema por parte de las instituciones participantes. En efecto, los principales usuarios del BUD (Carabineros, PDI</w:t>
      </w:r>
      <w:r w:rsidR="00F4659C">
        <w:rPr>
          <w:rFonts w:ascii="Garamond" w:hAnsi="Garamond" w:cs="Arial"/>
          <w:sz w:val="24"/>
          <w:szCs w:val="24"/>
        </w:rPr>
        <w:t xml:space="preserve">, </w:t>
      </w:r>
      <w:r w:rsidRPr="005675D7">
        <w:rPr>
          <w:rFonts w:ascii="Garamond" w:hAnsi="Garamond" w:cs="Arial"/>
          <w:sz w:val="24"/>
          <w:szCs w:val="24"/>
        </w:rPr>
        <w:t>Gendarmería</w:t>
      </w:r>
      <w:r w:rsidR="00F4659C">
        <w:rPr>
          <w:rFonts w:ascii="Garamond" w:hAnsi="Garamond" w:cs="Arial"/>
          <w:sz w:val="24"/>
          <w:szCs w:val="24"/>
        </w:rPr>
        <w:t xml:space="preserve"> y Ministerio Público</w:t>
      </w:r>
      <w:r w:rsidRPr="005675D7">
        <w:rPr>
          <w:rFonts w:ascii="Garamond" w:hAnsi="Garamond" w:cs="Arial"/>
          <w:sz w:val="24"/>
          <w:szCs w:val="24"/>
        </w:rPr>
        <w:t>) realizaron</w:t>
      </w:r>
      <w:r w:rsidR="00215066">
        <w:rPr>
          <w:rFonts w:ascii="Garamond" w:hAnsi="Garamond" w:cs="Arial"/>
          <w:sz w:val="24"/>
          <w:szCs w:val="24"/>
        </w:rPr>
        <w:t xml:space="preserve"> </w:t>
      </w:r>
      <w:r w:rsidR="009877AF">
        <w:rPr>
          <w:rFonts w:ascii="Garamond" w:hAnsi="Garamond" w:cs="Arial"/>
          <w:sz w:val="24"/>
          <w:szCs w:val="24"/>
        </w:rPr>
        <w:t>1.</w:t>
      </w:r>
      <w:r w:rsidR="0058353E">
        <w:rPr>
          <w:rFonts w:ascii="Garamond" w:hAnsi="Garamond" w:cs="Arial"/>
          <w:sz w:val="24"/>
          <w:szCs w:val="24"/>
        </w:rPr>
        <w:t>005</w:t>
      </w:r>
      <w:r w:rsidR="009877AF">
        <w:rPr>
          <w:rFonts w:ascii="Garamond" w:hAnsi="Garamond" w:cs="Arial"/>
          <w:sz w:val="24"/>
          <w:szCs w:val="24"/>
        </w:rPr>
        <w:t>.</w:t>
      </w:r>
      <w:r w:rsidR="0058353E">
        <w:rPr>
          <w:rFonts w:ascii="Garamond" w:hAnsi="Garamond" w:cs="Arial"/>
          <w:sz w:val="24"/>
          <w:szCs w:val="24"/>
        </w:rPr>
        <w:t>833</w:t>
      </w:r>
      <w:r w:rsidR="009877AF">
        <w:rPr>
          <w:rFonts w:ascii="Garamond" w:hAnsi="Garamond" w:cs="Arial"/>
          <w:sz w:val="24"/>
          <w:szCs w:val="24"/>
        </w:rPr>
        <w:t xml:space="preserve"> consultas durante</w:t>
      </w:r>
      <w:r w:rsidR="00215066">
        <w:rPr>
          <w:rFonts w:ascii="Garamond" w:hAnsi="Garamond" w:cs="Arial"/>
          <w:sz w:val="24"/>
          <w:szCs w:val="24"/>
        </w:rPr>
        <w:t xml:space="preserve"> el </w:t>
      </w:r>
      <w:r w:rsidR="0058353E">
        <w:rPr>
          <w:rFonts w:ascii="Garamond" w:hAnsi="Garamond" w:cs="Arial"/>
          <w:sz w:val="24"/>
          <w:szCs w:val="24"/>
        </w:rPr>
        <w:t>tercer</w:t>
      </w:r>
      <w:r w:rsidR="00215066">
        <w:rPr>
          <w:rFonts w:ascii="Garamond" w:hAnsi="Garamond" w:cs="Arial"/>
          <w:sz w:val="24"/>
          <w:szCs w:val="24"/>
        </w:rPr>
        <w:t xml:space="preserve"> trimestre de 2024.</w:t>
      </w:r>
    </w:p>
    <w:p w14:paraId="52DF0CB6" w14:textId="64312C30" w:rsidR="00153C4C" w:rsidRDefault="007E1BD6" w:rsidP="00F6585A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En efecto, </w:t>
      </w:r>
      <w:r w:rsidR="004A34F0">
        <w:rPr>
          <w:rFonts w:ascii="Garamond" w:hAnsi="Garamond" w:cs="Arial"/>
          <w:sz w:val="24"/>
          <w:szCs w:val="24"/>
        </w:rPr>
        <w:t>a partir del trabajo desarrollado por el Ministerio Público, con el apoyo de las instituciones participantes del sistema, se ha logrado</w:t>
      </w:r>
      <w:r w:rsidR="00381E12">
        <w:rPr>
          <w:rFonts w:ascii="Garamond" w:hAnsi="Garamond" w:cs="Arial"/>
          <w:sz w:val="24"/>
          <w:szCs w:val="24"/>
        </w:rPr>
        <w:t xml:space="preserve"> una mejora</w:t>
      </w:r>
      <w:r w:rsidR="004A34F0">
        <w:rPr>
          <w:rFonts w:ascii="Garamond" w:hAnsi="Garamond" w:cs="Arial"/>
          <w:sz w:val="24"/>
          <w:szCs w:val="24"/>
        </w:rPr>
        <w:t xml:space="preserve"> sustantiva y progresiv</w:t>
      </w:r>
      <w:r w:rsidR="00381E12">
        <w:rPr>
          <w:rFonts w:ascii="Garamond" w:hAnsi="Garamond" w:cs="Arial"/>
          <w:sz w:val="24"/>
          <w:szCs w:val="24"/>
        </w:rPr>
        <w:t>a de</w:t>
      </w:r>
      <w:r w:rsidR="004A34F0">
        <w:rPr>
          <w:rFonts w:ascii="Garamond" w:hAnsi="Garamond" w:cs="Arial"/>
          <w:sz w:val="24"/>
          <w:szCs w:val="24"/>
        </w:rPr>
        <w:t xml:space="preserve"> la operatividad y funcionamiento del BUD, </w:t>
      </w:r>
      <w:r w:rsidR="004A34F0" w:rsidRPr="00345E1B">
        <w:rPr>
          <w:rFonts w:ascii="Garamond" w:hAnsi="Garamond" w:cs="Arial"/>
          <w:sz w:val="24"/>
          <w:szCs w:val="24"/>
        </w:rPr>
        <w:t xml:space="preserve">de manera tal que </w:t>
      </w:r>
      <w:r w:rsidR="000453EF" w:rsidRPr="00345E1B">
        <w:rPr>
          <w:rFonts w:ascii="Garamond" w:hAnsi="Garamond" w:cs="Arial"/>
          <w:sz w:val="24"/>
          <w:szCs w:val="24"/>
        </w:rPr>
        <w:t>hoy en día</w:t>
      </w:r>
      <w:r w:rsidR="004A34F0" w:rsidRPr="00345E1B">
        <w:rPr>
          <w:rFonts w:ascii="Garamond" w:hAnsi="Garamond" w:cs="Arial"/>
          <w:sz w:val="24"/>
          <w:szCs w:val="24"/>
        </w:rPr>
        <w:t xml:space="preserve"> </w:t>
      </w:r>
      <w:r w:rsidR="004A34F0">
        <w:rPr>
          <w:rFonts w:ascii="Garamond" w:hAnsi="Garamond" w:cs="Arial"/>
          <w:sz w:val="24"/>
          <w:szCs w:val="24"/>
        </w:rPr>
        <w:t xml:space="preserve">podemos afirmar que </w:t>
      </w:r>
      <w:r w:rsidR="004A34F0" w:rsidRPr="00345E1B">
        <w:rPr>
          <w:rFonts w:ascii="Garamond" w:hAnsi="Garamond" w:cs="Arial"/>
          <w:sz w:val="24"/>
          <w:szCs w:val="24"/>
        </w:rPr>
        <w:t>el sistema cuenta con una base de datos constituida</w:t>
      </w:r>
      <w:r w:rsidR="004A34F0">
        <w:rPr>
          <w:rFonts w:ascii="Garamond" w:hAnsi="Garamond" w:cs="Arial"/>
          <w:sz w:val="24"/>
          <w:szCs w:val="24"/>
        </w:rPr>
        <w:t>,</w:t>
      </w:r>
      <w:r w:rsidR="004A34F0" w:rsidRPr="00345E1B">
        <w:rPr>
          <w:rFonts w:ascii="Garamond" w:hAnsi="Garamond" w:cs="Arial"/>
          <w:sz w:val="24"/>
          <w:szCs w:val="24"/>
        </w:rPr>
        <w:t xml:space="preserve"> en virtud de la información aportada por las diferentes instituciones.</w:t>
      </w:r>
      <w:r w:rsidR="0058353E">
        <w:rPr>
          <w:rFonts w:ascii="Garamond" w:hAnsi="Garamond" w:cs="Arial"/>
          <w:sz w:val="24"/>
          <w:szCs w:val="24"/>
        </w:rPr>
        <w:t xml:space="preserve"> Una muestra de ello, es que a contar de septiembre de 2024 a través del BUD puede consultarse la situación migratoria de imputados y condenados, ello por cuanto se habilitó una conexión directa entre el BUD y el Servicio Nacional de Migraciones.</w:t>
      </w:r>
    </w:p>
    <w:p w14:paraId="75B3C1E5" w14:textId="3C8752EF" w:rsidR="000453EF" w:rsidRPr="000453EF" w:rsidRDefault="001E6A4B" w:rsidP="000453EF">
      <w:pPr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Pese a que como institución hemos </w:t>
      </w:r>
      <w:r w:rsidR="00381E12">
        <w:rPr>
          <w:rFonts w:ascii="Garamond" w:hAnsi="Garamond" w:cs="Arial"/>
          <w:sz w:val="24"/>
          <w:szCs w:val="24"/>
        </w:rPr>
        <w:t>identificado</w:t>
      </w:r>
      <w:r w:rsidR="004A34F0">
        <w:rPr>
          <w:rFonts w:ascii="Garamond" w:hAnsi="Garamond" w:cs="Arial"/>
          <w:sz w:val="24"/>
          <w:szCs w:val="24"/>
        </w:rPr>
        <w:t xml:space="preserve"> como desafíos constantes </w:t>
      </w:r>
      <w:r w:rsidR="004244FB">
        <w:rPr>
          <w:rFonts w:ascii="Garamond" w:hAnsi="Garamond" w:cs="Arial"/>
          <w:sz w:val="24"/>
          <w:szCs w:val="24"/>
        </w:rPr>
        <w:t>en relación al</w:t>
      </w:r>
      <w:r w:rsidR="004A34F0">
        <w:rPr>
          <w:rFonts w:ascii="Garamond" w:hAnsi="Garamond" w:cs="Arial"/>
          <w:sz w:val="24"/>
          <w:szCs w:val="24"/>
        </w:rPr>
        <w:t xml:space="preserve"> BUD materias relativas a la mejora de la calidad de los datos del sistema, la búsqueda de soluciones a nivel técnico para </w:t>
      </w:r>
      <w:r w:rsidR="000453EF">
        <w:rPr>
          <w:rFonts w:ascii="Garamond" w:hAnsi="Garamond" w:cs="Arial"/>
          <w:sz w:val="24"/>
          <w:szCs w:val="24"/>
        </w:rPr>
        <w:t>eliminar brechas y la exploración de nuevos datos que pudiesen ser inyectados al BUD, cabe destacar que</w:t>
      </w:r>
      <w:r w:rsidR="000453EF">
        <w:rPr>
          <w:rFonts w:ascii="Garamond" w:hAnsi="Garamond"/>
          <w:sz w:val="24"/>
          <w:szCs w:val="24"/>
        </w:rPr>
        <w:t xml:space="preserve"> durante el último tiempo</w:t>
      </w:r>
      <w:r w:rsidR="000453EF" w:rsidRPr="005675D7">
        <w:rPr>
          <w:rFonts w:ascii="Garamond" w:hAnsi="Garamond"/>
          <w:sz w:val="24"/>
          <w:szCs w:val="24"/>
        </w:rPr>
        <w:t xml:space="preserve"> se ha considerado necesario explorar </w:t>
      </w:r>
      <w:r w:rsidR="00D76DA1">
        <w:rPr>
          <w:rFonts w:ascii="Garamond" w:hAnsi="Garamond"/>
          <w:sz w:val="24"/>
          <w:szCs w:val="24"/>
        </w:rPr>
        <w:t xml:space="preserve">un nuevo enfoque para el BUD, a partir de la evaluación de </w:t>
      </w:r>
      <w:r w:rsidR="000453EF" w:rsidRPr="005675D7">
        <w:rPr>
          <w:rFonts w:ascii="Garamond" w:hAnsi="Garamond"/>
          <w:sz w:val="24"/>
          <w:szCs w:val="24"/>
        </w:rPr>
        <w:t>nuevas líneas de acción que permitan cumplir con los objetivos de eficacia en la persecución penal</w:t>
      </w:r>
      <w:r w:rsidR="00D24B53">
        <w:rPr>
          <w:rFonts w:ascii="Garamond" w:hAnsi="Garamond"/>
          <w:sz w:val="24"/>
          <w:szCs w:val="24"/>
        </w:rPr>
        <w:t xml:space="preserve"> </w:t>
      </w:r>
      <w:r w:rsidR="000453EF" w:rsidRPr="005675D7">
        <w:rPr>
          <w:rFonts w:ascii="Garamond" w:hAnsi="Garamond"/>
          <w:sz w:val="24"/>
          <w:szCs w:val="24"/>
        </w:rPr>
        <w:t xml:space="preserve">y según dispone el artículo 11 de la Ley N°20.931, servir como elemento de apoyo a la labor investigativa en las diversas etapas del proceso penal, </w:t>
      </w:r>
      <w:r w:rsidR="000453EF">
        <w:rPr>
          <w:rFonts w:ascii="Garamond" w:hAnsi="Garamond"/>
          <w:sz w:val="24"/>
          <w:szCs w:val="24"/>
        </w:rPr>
        <w:t xml:space="preserve">en específico, </w:t>
      </w:r>
      <w:r w:rsidR="00404158">
        <w:rPr>
          <w:rFonts w:ascii="Garamond" w:hAnsi="Garamond"/>
          <w:sz w:val="24"/>
          <w:szCs w:val="24"/>
        </w:rPr>
        <w:t xml:space="preserve">en materia de </w:t>
      </w:r>
      <w:r w:rsidR="000453EF" w:rsidRPr="005675D7">
        <w:rPr>
          <w:rFonts w:ascii="Garamond" w:hAnsi="Garamond"/>
          <w:sz w:val="24"/>
          <w:szCs w:val="24"/>
        </w:rPr>
        <w:t>análisis criminal para la detección de estructuras de criminalidad reconocibles</w:t>
      </w:r>
      <w:r w:rsidR="00D24B53">
        <w:rPr>
          <w:rFonts w:ascii="Garamond" w:hAnsi="Garamond"/>
          <w:sz w:val="24"/>
          <w:szCs w:val="24"/>
        </w:rPr>
        <w:t xml:space="preserve"> que operan en nuestro país. </w:t>
      </w:r>
    </w:p>
    <w:p w14:paraId="476E75B9" w14:textId="791DD01D" w:rsidR="004A34F0" w:rsidRPr="00215066" w:rsidRDefault="000453EF" w:rsidP="000453EF">
      <w:pPr>
        <w:jc w:val="both"/>
        <w:rPr>
          <w:rFonts w:ascii="Garamond" w:hAnsi="Garamond"/>
          <w:sz w:val="24"/>
          <w:szCs w:val="24"/>
        </w:rPr>
      </w:pPr>
      <w:r w:rsidRPr="005675D7">
        <w:rPr>
          <w:rFonts w:ascii="Garamond" w:hAnsi="Garamond"/>
          <w:sz w:val="24"/>
          <w:szCs w:val="24"/>
        </w:rPr>
        <w:t xml:space="preserve">De esta forma, </w:t>
      </w:r>
      <w:r w:rsidR="00404158">
        <w:rPr>
          <w:rFonts w:ascii="Garamond" w:hAnsi="Garamond"/>
          <w:sz w:val="24"/>
          <w:szCs w:val="24"/>
        </w:rPr>
        <w:t xml:space="preserve">el desafío </w:t>
      </w:r>
      <w:r w:rsidR="0074388E">
        <w:rPr>
          <w:rFonts w:ascii="Garamond" w:hAnsi="Garamond"/>
          <w:sz w:val="24"/>
          <w:szCs w:val="24"/>
        </w:rPr>
        <w:t>que se presenta para el</w:t>
      </w:r>
      <w:r w:rsidR="00404158">
        <w:rPr>
          <w:rFonts w:ascii="Garamond" w:hAnsi="Garamond"/>
          <w:sz w:val="24"/>
          <w:szCs w:val="24"/>
        </w:rPr>
        <w:t xml:space="preserve"> BUD es </w:t>
      </w:r>
      <w:r w:rsidRPr="005675D7">
        <w:rPr>
          <w:rFonts w:ascii="Garamond" w:hAnsi="Garamond"/>
          <w:sz w:val="24"/>
          <w:szCs w:val="24"/>
        </w:rPr>
        <w:t>contar con una plataforma integrada de información relevante en materia penal</w:t>
      </w:r>
      <w:r w:rsidR="0074388E">
        <w:rPr>
          <w:rFonts w:ascii="Garamond" w:hAnsi="Garamond"/>
          <w:sz w:val="24"/>
          <w:szCs w:val="24"/>
        </w:rPr>
        <w:t xml:space="preserve">, </w:t>
      </w:r>
      <w:r w:rsidRPr="005675D7">
        <w:rPr>
          <w:rFonts w:ascii="Garamond" w:hAnsi="Garamond"/>
          <w:sz w:val="24"/>
          <w:szCs w:val="24"/>
        </w:rPr>
        <w:t>que les permita a las instituciones parte del BUD acceder a información para abordar los nuevos fenómenos criminales presentes en el país</w:t>
      </w:r>
      <w:r w:rsidR="00D24B53">
        <w:rPr>
          <w:rFonts w:ascii="Garamond" w:hAnsi="Garamond"/>
          <w:sz w:val="24"/>
          <w:szCs w:val="24"/>
        </w:rPr>
        <w:t xml:space="preserve">. </w:t>
      </w:r>
      <w:r w:rsidR="00D24B53">
        <w:rPr>
          <w:rFonts w:ascii="Garamond" w:hAnsi="Garamond"/>
          <w:sz w:val="24"/>
          <w:szCs w:val="24"/>
        </w:rPr>
        <w:lastRenderedPageBreak/>
        <w:t>E</w:t>
      </w:r>
      <w:r w:rsidR="00E10B18">
        <w:rPr>
          <w:rFonts w:ascii="Garamond" w:hAnsi="Garamond"/>
          <w:sz w:val="24"/>
          <w:szCs w:val="24"/>
        </w:rPr>
        <w:t>ntendemos que esta</w:t>
      </w:r>
      <w:r w:rsidRPr="005675D7">
        <w:rPr>
          <w:rFonts w:ascii="Garamond" w:hAnsi="Garamond"/>
          <w:sz w:val="24"/>
          <w:szCs w:val="24"/>
        </w:rPr>
        <w:t xml:space="preserve"> tarea requiere una constante actualización </w:t>
      </w:r>
      <w:r w:rsidR="0074388E">
        <w:rPr>
          <w:rFonts w:ascii="Garamond" w:hAnsi="Garamond"/>
          <w:sz w:val="24"/>
          <w:szCs w:val="24"/>
        </w:rPr>
        <w:t xml:space="preserve">y búsqueda de información </w:t>
      </w:r>
      <w:r w:rsidRPr="005675D7">
        <w:rPr>
          <w:rFonts w:ascii="Garamond" w:hAnsi="Garamond"/>
          <w:sz w:val="24"/>
          <w:szCs w:val="24"/>
        </w:rPr>
        <w:t>para poder abordar los</w:t>
      </w:r>
      <w:r w:rsidR="0074388E">
        <w:rPr>
          <w:rFonts w:ascii="Garamond" w:hAnsi="Garamond"/>
          <w:sz w:val="24"/>
          <w:szCs w:val="24"/>
        </w:rPr>
        <w:t xml:space="preserve"> nuevos</w:t>
      </w:r>
      <w:r w:rsidRPr="005675D7">
        <w:rPr>
          <w:rFonts w:ascii="Garamond" w:hAnsi="Garamond"/>
          <w:sz w:val="24"/>
          <w:szCs w:val="24"/>
        </w:rPr>
        <w:t xml:space="preserve"> desafíos que se presentan en </w:t>
      </w:r>
      <w:r w:rsidR="0074388E">
        <w:rPr>
          <w:rFonts w:ascii="Garamond" w:hAnsi="Garamond"/>
          <w:sz w:val="24"/>
          <w:szCs w:val="24"/>
        </w:rPr>
        <w:t>materia</w:t>
      </w:r>
      <w:r w:rsidRPr="005675D7">
        <w:rPr>
          <w:rFonts w:ascii="Garamond" w:hAnsi="Garamond"/>
          <w:sz w:val="24"/>
          <w:szCs w:val="24"/>
        </w:rPr>
        <w:t xml:space="preserve"> de investigación.</w:t>
      </w:r>
      <w:r w:rsidR="00D24B53">
        <w:rPr>
          <w:rFonts w:ascii="Garamond" w:hAnsi="Garamond"/>
          <w:sz w:val="24"/>
          <w:szCs w:val="24"/>
        </w:rPr>
        <w:t xml:space="preserve"> </w:t>
      </w:r>
      <w:r w:rsidR="00477CE2">
        <w:rPr>
          <w:rFonts w:ascii="Garamond" w:hAnsi="Garamond"/>
          <w:sz w:val="24"/>
          <w:szCs w:val="24"/>
        </w:rPr>
        <w:t>En razón de ello, el Ministerio Público contempla dentro de su plan de trabajo para el año 2024 la realización de mejoras y la implementación de desarrollos para fortalecer el cumplimiento de los objetivos que contempla el artículo 11 de la Ley 20.931.</w:t>
      </w:r>
      <w:r w:rsidR="00EF4326">
        <w:rPr>
          <w:rFonts w:ascii="Garamond" w:hAnsi="Garamond"/>
          <w:sz w:val="24"/>
          <w:szCs w:val="24"/>
        </w:rPr>
        <w:t xml:space="preserve"> Entre estas</w:t>
      </w:r>
      <w:r w:rsidR="00215066">
        <w:rPr>
          <w:rFonts w:ascii="Garamond" w:hAnsi="Garamond"/>
          <w:sz w:val="24"/>
          <w:szCs w:val="24"/>
        </w:rPr>
        <w:t xml:space="preserve"> se destaca </w:t>
      </w:r>
      <w:r w:rsidR="00EF4326">
        <w:rPr>
          <w:rFonts w:ascii="Garamond" w:hAnsi="Garamond"/>
          <w:sz w:val="24"/>
          <w:szCs w:val="24"/>
        </w:rPr>
        <w:t>el rediseño del aplicativo para lograr que el BUD constituya una herramienta que apoye el trabajo de análisis criminal.</w:t>
      </w:r>
    </w:p>
    <w:p w14:paraId="1D19A85E" w14:textId="002ECAA9" w:rsidR="00F6585A" w:rsidRPr="005675D7" w:rsidRDefault="00215066" w:rsidP="005774C5">
      <w:pPr>
        <w:jc w:val="both"/>
        <w:rPr>
          <w:rFonts w:ascii="Garamond" w:hAnsi="Garamond"/>
          <w:sz w:val="24"/>
          <w:szCs w:val="24"/>
        </w:rPr>
      </w:pPr>
      <w:r w:rsidRPr="005675D7">
        <w:rPr>
          <w:rFonts w:ascii="Garamond" w:hAnsi="Garamond"/>
          <w:sz w:val="24"/>
          <w:szCs w:val="24"/>
        </w:rPr>
        <w:t>Finalmente,</w:t>
      </w:r>
      <w:r w:rsidR="00F6585A" w:rsidRPr="005675D7">
        <w:rPr>
          <w:rFonts w:ascii="Garamond" w:hAnsi="Garamond"/>
          <w:sz w:val="24"/>
          <w:szCs w:val="24"/>
        </w:rPr>
        <w:t xml:space="preserve"> y en lo que se refiere a los gastos efectuados en el sistema, es menester señalar que entre los meses de </w:t>
      </w:r>
      <w:r w:rsidR="0058353E">
        <w:rPr>
          <w:rFonts w:ascii="Garamond" w:hAnsi="Garamond"/>
          <w:sz w:val="24"/>
          <w:szCs w:val="24"/>
        </w:rPr>
        <w:t>julio</w:t>
      </w:r>
      <w:r w:rsidR="00F6585A" w:rsidRPr="005675D7">
        <w:rPr>
          <w:rFonts w:ascii="Garamond" w:hAnsi="Garamond"/>
          <w:sz w:val="24"/>
          <w:szCs w:val="24"/>
        </w:rPr>
        <w:t xml:space="preserve"> a </w:t>
      </w:r>
      <w:r w:rsidR="0058353E">
        <w:rPr>
          <w:rFonts w:ascii="Garamond" w:hAnsi="Garamond"/>
          <w:sz w:val="24"/>
          <w:szCs w:val="24"/>
        </w:rPr>
        <w:t>septiembre</w:t>
      </w:r>
      <w:r w:rsidR="00F6585A" w:rsidRPr="005675D7">
        <w:rPr>
          <w:rFonts w:ascii="Garamond" w:hAnsi="Garamond"/>
          <w:sz w:val="24"/>
          <w:szCs w:val="24"/>
        </w:rPr>
        <w:t xml:space="preserve"> del año 202</w:t>
      </w:r>
      <w:r>
        <w:rPr>
          <w:rFonts w:ascii="Garamond" w:hAnsi="Garamond"/>
          <w:sz w:val="24"/>
          <w:szCs w:val="24"/>
        </w:rPr>
        <w:t>4</w:t>
      </w:r>
      <w:r w:rsidR="00F6585A" w:rsidRPr="005675D7">
        <w:rPr>
          <w:rFonts w:ascii="Garamond" w:hAnsi="Garamond"/>
          <w:sz w:val="24"/>
          <w:szCs w:val="24"/>
        </w:rPr>
        <w:t xml:space="preserve"> se ejecutaron los siguientes gastos: $</w:t>
      </w:r>
      <w:r w:rsidR="0058353E">
        <w:rPr>
          <w:rFonts w:ascii="Garamond" w:hAnsi="Garamond"/>
          <w:sz w:val="24"/>
          <w:szCs w:val="24"/>
        </w:rPr>
        <w:t>52.770.834</w:t>
      </w:r>
      <w:r w:rsidR="00F6585A" w:rsidRPr="005675D7">
        <w:rPr>
          <w:rFonts w:ascii="Garamond" w:hAnsi="Garamond"/>
          <w:sz w:val="24"/>
          <w:szCs w:val="24"/>
        </w:rPr>
        <w:t xml:space="preserve">, correspondientes al servicio de </w:t>
      </w:r>
      <w:proofErr w:type="spellStart"/>
      <w:r w:rsidR="00F6585A" w:rsidRPr="005675D7">
        <w:rPr>
          <w:rFonts w:ascii="Garamond" w:hAnsi="Garamond"/>
          <w:i/>
          <w:sz w:val="24"/>
          <w:szCs w:val="24"/>
        </w:rPr>
        <w:t>housing</w:t>
      </w:r>
      <w:proofErr w:type="spellEnd"/>
      <w:r w:rsidR="00F6585A" w:rsidRPr="005675D7">
        <w:rPr>
          <w:rFonts w:ascii="Garamond" w:hAnsi="Garamond"/>
          <w:i/>
          <w:sz w:val="24"/>
          <w:szCs w:val="24"/>
        </w:rPr>
        <w:t xml:space="preserve"> </w:t>
      </w:r>
      <w:r w:rsidR="00F6585A" w:rsidRPr="005675D7">
        <w:rPr>
          <w:rFonts w:ascii="Garamond" w:hAnsi="Garamond"/>
          <w:sz w:val="24"/>
          <w:szCs w:val="24"/>
        </w:rPr>
        <w:t>de la plataforma (servicio prestado por la empresa Sonda), que corresponde al 15% de la facturación de la plataforma central; y, $2.</w:t>
      </w:r>
      <w:r w:rsidR="009877AF">
        <w:rPr>
          <w:rFonts w:ascii="Garamond" w:hAnsi="Garamond"/>
          <w:sz w:val="24"/>
          <w:szCs w:val="24"/>
        </w:rPr>
        <w:t>6</w:t>
      </w:r>
      <w:r w:rsidR="0058353E">
        <w:rPr>
          <w:rFonts w:ascii="Garamond" w:hAnsi="Garamond"/>
          <w:sz w:val="24"/>
          <w:szCs w:val="24"/>
        </w:rPr>
        <w:t>39</w:t>
      </w:r>
      <w:r w:rsidR="00F6585A" w:rsidRPr="005675D7">
        <w:rPr>
          <w:rFonts w:ascii="Garamond" w:hAnsi="Garamond"/>
          <w:sz w:val="24"/>
          <w:szCs w:val="24"/>
        </w:rPr>
        <w:t>.</w:t>
      </w:r>
      <w:r w:rsidR="0058353E">
        <w:rPr>
          <w:rFonts w:ascii="Garamond" w:hAnsi="Garamond"/>
          <w:sz w:val="24"/>
          <w:szCs w:val="24"/>
        </w:rPr>
        <w:t>703</w:t>
      </w:r>
      <w:r w:rsidR="00F6585A" w:rsidRPr="005675D7">
        <w:rPr>
          <w:rFonts w:ascii="Garamond" w:hAnsi="Garamond"/>
          <w:sz w:val="24"/>
          <w:szCs w:val="24"/>
        </w:rPr>
        <w:t xml:space="preserve">, correspondientes al servicio de </w:t>
      </w:r>
      <w:proofErr w:type="spellStart"/>
      <w:r w:rsidR="00F6585A" w:rsidRPr="005675D7">
        <w:rPr>
          <w:rFonts w:ascii="Garamond" w:hAnsi="Garamond"/>
          <w:i/>
          <w:sz w:val="24"/>
          <w:szCs w:val="24"/>
        </w:rPr>
        <w:t>housing</w:t>
      </w:r>
      <w:proofErr w:type="spellEnd"/>
      <w:r w:rsidR="00F6585A" w:rsidRPr="005675D7">
        <w:rPr>
          <w:rFonts w:ascii="Garamond" w:hAnsi="Garamond"/>
          <w:sz w:val="24"/>
          <w:szCs w:val="24"/>
        </w:rPr>
        <w:t xml:space="preserve"> para equipos de enlace con Gendarmería de Chile (enlace de datos dedicado). </w:t>
      </w:r>
    </w:p>
    <w:p w14:paraId="6A5013EF" w14:textId="5642DC19" w:rsidR="00F6585A" w:rsidRPr="00F6585A" w:rsidRDefault="00F6585A" w:rsidP="00F6585A">
      <w:pPr>
        <w:jc w:val="both"/>
        <w:rPr>
          <w:rFonts w:ascii="Garamond" w:hAnsi="Garamond"/>
        </w:rPr>
      </w:pPr>
    </w:p>
    <w:sectPr w:rsidR="00F6585A" w:rsidRPr="00F658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775"/>
    <w:rsid w:val="000453EF"/>
    <w:rsid w:val="0015356D"/>
    <w:rsid w:val="00153C4C"/>
    <w:rsid w:val="00166184"/>
    <w:rsid w:val="001C4402"/>
    <w:rsid w:val="001E6A4B"/>
    <w:rsid w:val="0021296F"/>
    <w:rsid w:val="00215066"/>
    <w:rsid w:val="002B3239"/>
    <w:rsid w:val="00345854"/>
    <w:rsid w:val="00381E12"/>
    <w:rsid w:val="003A51E6"/>
    <w:rsid w:val="003C361F"/>
    <w:rsid w:val="004015C5"/>
    <w:rsid w:val="00404158"/>
    <w:rsid w:val="004244FB"/>
    <w:rsid w:val="00477CE2"/>
    <w:rsid w:val="00490758"/>
    <w:rsid w:val="004A34F0"/>
    <w:rsid w:val="005451DC"/>
    <w:rsid w:val="005675D7"/>
    <w:rsid w:val="005774C5"/>
    <w:rsid w:val="0058353E"/>
    <w:rsid w:val="006201E5"/>
    <w:rsid w:val="00655ABC"/>
    <w:rsid w:val="00656775"/>
    <w:rsid w:val="00692D91"/>
    <w:rsid w:val="006F7BEE"/>
    <w:rsid w:val="00716DD0"/>
    <w:rsid w:val="0074388E"/>
    <w:rsid w:val="007551C3"/>
    <w:rsid w:val="007E1BD6"/>
    <w:rsid w:val="0086038B"/>
    <w:rsid w:val="0089349A"/>
    <w:rsid w:val="008B5E51"/>
    <w:rsid w:val="009877AF"/>
    <w:rsid w:val="00A4173B"/>
    <w:rsid w:val="00AB5621"/>
    <w:rsid w:val="00AF5F24"/>
    <w:rsid w:val="00B31F1D"/>
    <w:rsid w:val="00BA4384"/>
    <w:rsid w:val="00C64549"/>
    <w:rsid w:val="00D24B53"/>
    <w:rsid w:val="00D260D3"/>
    <w:rsid w:val="00D76DA1"/>
    <w:rsid w:val="00DE14F9"/>
    <w:rsid w:val="00E10B18"/>
    <w:rsid w:val="00EF4326"/>
    <w:rsid w:val="00F4659C"/>
    <w:rsid w:val="00F6585A"/>
    <w:rsid w:val="00F6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D946B"/>
  <w15:chartTrackingRefBased/>
  <w15:docId w15:val="{BE9E5208-F4F6-4709-A8BB-44ED8AE3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1D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658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6585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6585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58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58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1207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Cubillos Morgado</dc:creator>
  <cp:keywords/>
  <dc:description/>
  <cp:lastModifiedBy>Rodrigo Honores Cisterna</cp:lastModifiedBy>
  <cp:revision>4</cp:revision>
  <dcterms:created xsi:type="dcterms:W3CDTF">2024-04-17T15:31:00Z</dcterms:created>
  <dcterms:modified xsi:type="dcterms:W3CDTF">2024-10-16T20:19:00Z</dcterms:modified>
</cp:coreProperties>
</file>